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left"/>
        <w:rPr>
          <w:rFonts w:ascii="Rubik Medium" w:cs="Rubik Medium" w:eastAsia="Rubik Medium" w:hAnsi="Rubik Medium"/>
          <w:sz w:val="30"/>
          <w:szCs w:val="30"/>
          <w:u w:val="single"/>
        </w:rPr>
      </w:pPr>
      <w:r w:rsidDel="00000000" w:rsidR="00000000" w:rsidRPr="00000000">
        <w:rPr>
          <w:rtl w:val="0"/>
        </w:rPr>
      </w:r>
    </w:p>
    <w:p w:rsidR="00000000" w:rsidDel="00000000" w:rsidP="00000000" w:rsidRDefault="00000000" w:rsidRPr="00000000" w14:paraId="00000002">
      <w:pPr>
        <w:tabs>
          <w:tab w:val="center" w:leader="none" w:pos="4419"/>
          <w:tab w:val="right" w:leader="none" w:pos="8838"/>
        </w:tabs>
        <w:jc w:val="center"/>
        <w:rPr>
          <w:rFonts w:ascii="Rubik Medium" w:cs="Rubik Medium" w:eastAsia="Rubik Medium" w:hAnsi="Rubik Medium"/>
          <w:color w:val="18ba5d"/>
          <w:sz w:val="34"/>
          <w:szCs w:val="34"/>
          <w:u w:val="single"/>
        </w:rPr>
      </w:pPr>
      <w:r w:rsidDel="00000000" w:rsidR="00000000" w:rsidRPr="00000000">
        <w:rPr>
          <w:rFonts w:ascii="Rubik Medium" w:cs="Rubik Medium" w:eastAsia="Rubik Medium" w:hAnsi="Rubik Medium"/>
          <w:sz w:val="30"/>
          <w:szCs w:val="30"/>
          <w:u w:val="single"/>
          <w:rtl w:val="0"/>
        </w:rPr>
        <w:t xml:space="preserve">Cierra el círculo 2024</w:t>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color w:val="6aa84f"/>
          <w:sz w:val="22"/>
          <w:szCs w:val="22"/>
        </w:rPr>
      </w:pPr>
      <w:r w:rsidDel="00000000" w:rsidR="00000000" w:rsidRPr="00000000">
        <w:rPr>
          <w:rFonts w:ascii="Rubik Medium" w:cs="Rubik Medium" w:eastAsia="Rubik Medium" w:hAnsi="Rubik Medium"/>
          <w:color w:val="18ba5d"/>
          <w:sz w:val="40"/>
          <w:szCs w:val="40"/>
          <w:rtl w:val="0"/>
        </w:rPr>
        <w:t xml:space="preserve">Andalucía, la Comunidad que más botellas de plástico ha ahorrado al medio ambiente gracias a la segunda mano</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 comunidad andaluza consiguió, gracias a las transacciones realizadas durante el año pasado, un ahorro potencial equivalente al consumo eléctrico anual de más de 3 mil hogares</w:t>
      </w:r>
    </w:p>
    <w:p w:rsidR="00000000" w:rsidDel="00000000" w:rsidP="00000000" w:rsidRDefault="00000000" w:rsidRPr="00000000" w14:paraId="00000006">
      <w:pPr>
        <w:spacing w:line="276" w:lineRule="auto"/>
        <w:ind w:left="0" w:firstLine="0"/>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7">
      <w:pPr>
        <w:spacing w:line="276" w:lineRule="auto"/>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‘Casa y Jardín’ es la categoría que más impacto medioambiental tiene, seguido de los productos de ’Deporte y Náutica’ e</w:t>
      </w:r>
    </w:p>
    <w:p w:rsidR="00000000" w:rsidDel="00000000" w:rsidP="00000000" w:rsidRDefault="00000000" w:rsidRPr="00000000" w14:paraId="00000008">
      <w:pPr>
        <w:spacing w:line="276" w:lineRule="auto"/>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‘Informática’</w:t>
      </w:r>
    </w:p>
    <w:p w:rsidR="00000000" w:rsidDel="00000000" w:rsidP="00000000" w:rsidRDefault="00000000" w:rsidRPr="00000000" w14:paraId="00000009">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A">
      <w:pPr>
        <w:spacing w:line="276" w:lineRule="auto"/>
        <w:rPr>
          <w:rFonts w:ascii="Rubik Medium" w:cs="Rubik Medium" w:eastAsia="Rubik Medium" w:hAnsi="Rubik Medium"/>
          <w:sz w:val="26"/>
          <w:szCs w:val="26"/>
          <w:highlight w:val="white"/>
        </w:rPr>
      </w:pPr>
      <w:r w:rsidDel="00000000" w:rsidR="00000000" w:rsidRPr="00000000">
        <w:rPr>
          <w:rFonts w:ascii="Rubik Medium" w:cs="Rubik Medium" w:eastAsia="Rubik Medium" w:hAnsi="Rubik Medium"/>
          <w:color w:val="171d20"/>
          <w:sz w:val="26"/>
          <w:szCs w:val="26"/>
          <w:rtl w:val="0"/>
        </w:rPr>
        <w:t xml:space="preserve">Las </w:t>
      </w:r>
      <w:r w:rsidDel="00000000" w:rsidR="00000000" w:rsidRPr="00000000">
        <w:rPr>
          <w:rFonts w:ascii="Rubik Medium" w:cs="Rubik Medium" w:eastAsia="Rubik Medium" w:hAnsi="Rubik Medium"/>
          <w:i w:val="1"/>
          <w:sz w:val="26"/>
          <w:szCs w:val="26"/>
          <w:highlight w:val="white"/>
          <w:rtl w:val="0"/>
        </w:rPr>
        <w:t xml:space="preserve">bicis de montaña, </w:t>
      </w:r>
      <w:r w:rsidDel="00000000" w:rsidR="00000000" w:rsidRPr="00000000">
        <w:rPr>
          <w:rFonts w:ascii="Rubik Medium" w:cs="Rubik Medium" w:eastAsia="Rubik Medium" w:hAnsi="Rubik Medium"/>
          <w:i w:val="1"/>
          <w:sz w:val="26"/>
          <w:szCs w:val="26"/>
          <w:highlight w:val="white"/>
          <w:rtl w:val="0"/>
        </w:rPr>
        <w:t xml:space="preserve">frigoríficos, congeladores, lavadoras y bicis de niños </w:t>
      </w:r>
      <w:r w:rsidDel="00000000" w:rsidR="00000000" w:rsidRPr="00000000">
        <w:rPr>
          <w:rFonts w:ascii="Rubik Medium" w:cs="Rubik Medium" w:eastAsia="Rubik Medium" w:hAnsi="Rubik Medium"/>
          <w:sz w:val="26"/>
          <w:szCs w:val="26"/>
          <w:highlight w:val="white"/>
          <w:rtl w:val="0"/>
        </w:rPr>
        <w:t xml:space="preserve">se sitúan en el ránking de los productos reutilizados con más impacto sostenible en Andalucía</w:t>
      </w:r>
    </w:p>
    <w:p w:rsidR="00000000" w:rsidDel="00000000" w:rsidP="00000000" w:rsidRDefault="00000000" w:rsidRPr="00000000" w14:paraId="0000000B">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C">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D">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E">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un</w:t>
      </w:r>
      <w:r w:rsidDel="00000000" w:rsidR="00000000" w:rsidRPr="00000000">
        <w:rPr>
          <w:rFonts w:ascii="Rubik" w:cs="Rubik" w:eastAsia="Rubik" w:hAnsi="Rubik"/>
          <w:color w:val="171d20"/>
          <w:rtl w:val="0"/>
        </w:rPr>
        <w:t xml:space="preserve"> estudio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a nivel nacional y regional tanto por categorías como por habitantes,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F">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11">
      <w:pPr>
        <w:spacing w:before="240" w:line="276" w:lineRule="auto"/>
        <w:jc w:val="both"/>
        <w:rPr>
          <w:rFonts w:ascii="Rubik" w:cs="Rubik" w:eastAsia="Rubik" w:hAnsi="Rubik"/>
          <w:b w:val="1"/>
          <w:highlight w:val="white"/>
          <w:u w:val="single"/>
        </w:rPr>
      </w:pPr>
      <w:bookmarkStart w:colFirst="0" w:colLast="0" w:name="_heading=h.uyvdlvrr7f8b" w:id="1"/>
      <w:bookmarkEnd w:id="1"/>
      <w:r w:rsidDel="00000000" w:rsidR="00000000" w:rsidRPr="00000000">
        <w:rPr>
          <w:rFonts w:ascii="Rubik" w:cs="Rubik" w:eastAsia="Rubik" w:hAnsi="Rubik"/>
          <w:b w:val="1"/>
          <w:color w:val="171d20"/>
          <w:u w:val="single"/>
          <w:rtl w:val="0"/>
        </w:rPr>
        <w:t xml:space="preserve">Andalucía, la más comprometida con la segunda mano y el planeta</w:t>
      </w:r>
      <w:r w:rsidDel="00000000" w:rsidR="00000000" w:rsidRPr="00000000">
        <w:rPr>
          <w:rtl w:val="0"/>
        </w:rPr>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heading=h.26in1rg" w:id="2"/>
      <w:bookmarkEnd w:id="2"/>
      <w:r w:rsidDel="00000000" w:rsidR="00000000" w:rsidRPr="00000000">
        <w:rPr>
          <w:rFonts w:ascii="Rubik" w:cs="Rubik" w:eastAsia="Rubik" w:hAnsi="Rubik"/>
          <w:color w:val="171d20"/>
          <w:rtl w:val="0"/>
        </w:rPr>
        <w:t xml:space="preserve">El informe “Cierra el círculo 2024” registra, además, el </w:t>
      </w:r>
      <w:r w:rsidDel="00000000" w:rsidR="00000000" w:rsidRPr="00000000">
        <w:rPr>
          <w:rFonts w:ascii="Rubik" w:cs="Rubik" w:eastAsia="Rubik" w:hAnsi="Rubik"/>
          <w:b w:val="1"/>
          <w:color w:val="171d20"/>
          <w:rtl w:val="0"/>
        </w:rPr>
        <w:t xml:space="preserve">ahorro potencial de emisiones de cada comunidad autónoma</w:t>
      </w:r>
      <w:r w:rsidDel="00000000" w:rsidR="00000000" w:rsidRPr="00000000">
        <w:rPr>
          <w:rFonts w:ascii="Rubik" w:cs="Rubik" w:eastAsia="Rubik" w:hAnsi="Rubik"/>
          <w:color w:val="171d20"/>
          <w:rtl w:val="0"/>
        </w:rPr>
        <w:t xml:space="preserve">.</w:t>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heading=h.ne4w13mdq6mg" w:id="3"/>
      <w:bookmarkEnd w:id="3"/>
      <w:r w:rsidDel="00000000" w:rsidR="00000000" w:rsidRPr="00000000">
        <w:rPr>
          <w:rFonts w:ascii="Rubik" w:cs="Rubik" w:eastAsia="Rubik" w:hAnsi="Rubik"/>
          <w:color w:val="171d20"/>
          <w:rtl w:val="0"/>
        </w:rPr>
        <w:t xml:space="preserve">Según los datos de Milanuncios y tras analizar todas las CCAA,</w:t>
      </w:r>
      <w:r w:rsidDel="00000000" w:rsidR="00000000" w:rsidRPr="00000000">
        <w:rPr>
          <w:rFonts w:ascii="Rubik" w:cs="Rubik" w:eastAsia="Rubik" w:hAnsi="Rubik"/>
          <w:b w:val="1"/>
          <w:color w:val="171d20"/>
          <w:rtl w:val="0"/>
        </w:rPr>
        <w:t xml:space="preserve"> Andalucía es la Comunidad Autónoma que más botellas de plástico ha ahorrado al medio ambiente gracias a la segunda mano.</w:t>
      </w:r>
      <w:r w:rsidDel="00000000" w:rsidR="00000000" w:rsidRPr="00000000">
        <w:rPr>
          <w:rFonts w:ascii="Rubik" w:cs="Rubik" w:eastAsia="Rubik" w:hAnsi="Rubik"/>
          <w:color w:val="171d20"/>
          <w:rtl w:val="0"/>
        </w:rPr>
        <w:t xml:space="preserve"> En concreto, a través de las transacciones llevadas a cabo el pasado año, la región andaluza es responsable del potencial ahorro de más de </w:t>
      </w:r>
      <w:r w:rsidDel="00000000" w:rsidR="00000000" w:rsidRPr="00000000">
        <w:rPr>
          <w:rFonts w:ascii="Rubik" w:cs="Rubik" w:eastAsia="Rubik" w:hAnsi="Rubik"/>
          <w:color w:val="171d20"/>
          <w:rtl w:val="0"/>
        </w:rPr>
        <w:t xml:space="preserve">3.302.406 botellas de plástico</w:t>
      </w:r>
      <w:r w:rsidDel="00000000" w:rsidR="00000000" w:rsidRPr="00000000">
        <w:rPr>
          <w:rFonts w:ascii="Rubik" w:cs="Rubik" w:eastAsia="Rubik" w:hAnsi="Rubik"/>
          <w:color w:val="171d20"/>
          <w:rtl w:val="0"/>
        </w:rPr>
        <w:t xml:space="preserve">, el equivalente a más de </w:t>
      </w:r>
      <w:r w:rsidDel="00000000" w:rsidR="00000000" w:rsidRPr="00000000">
        <w:rPr>
          <w:rFonts w:ascii="Rubik" w:cs="Rubik" w:eastAsia="Rubik" w:hAnsi="Rubik"/>
          <w:color w:val="171d20"/>
          <w:rtl w:val="0"/>
        </w:rPr>
        <w:t xml:space="preserve">2.146 toneladas de CO₂.</w:t>
      </w:r>
      <w:r w:rsidDel="00000000" w:rsidR="00000000" w:rsidRPr="00000000">
        <w:rPr>
          <w:rFonts w:ascii="Rubik" w:cs="Rubik" w:eastAsia="Rubik" w:hAnsi="Rubik"/>
          <w:color w:val="171d20"/>
          <w:rtl w:val="0"/>
        </w:rPr>
        <w:t xml:space="preserve"> </w:t>
      </w:r>
    </w:p>
    <w:p w:rsidR="00000000" w:rsidDel="00000000" w:rsidP="00000000" w:rsidRDefault="00000000" w:rsidRPr="00000000" w14:paraId="00000014">
      <w:pPr>
        <w:spacing w:before="240" w:line="276" w:lineRule="auto"/>
        <w:jc w:val="both"/>
        <w:rPr>
          <w:rFonts w:ascii="Rubik" w:cs="Rubik" w:eastAsia="Rubik" w:hAnsi="Rubik"/>
          <w:color w:val="171d20"/>
        </w:rPr>
      </w:pPr>
      <w:bookmarkStart w:colFirst="0" w:colLast="0" w:name="_heading=h.7u0iww9oau8o" w:id="4"/>
      <w:bookmarkEnd w:id="4"/>
      <w:r w:rsidDel="00000000" w:rsidR="00000000" w:rsidRPr="00000000">
        <w:rPr>
          <w:rFonts w:ascii="Rubik" w:cs="Rubik" w:eastAsia="Rubik" w:hAnsi="Rubik"/>
          <w:color w:val="171d20"/>
          <w:rtl w:val="0"/>
        </w:rPr>
        <w:t xml:space="preserve">Así, en el ránking de las cinco CCAA más comprometidas, tras </w:t>
      </w:r>
      <w:r w:rsidDel="00000000" w:rsidR="00000000" w:rsidRPr="00000000">
        <w:rPr>
          <w:rFonts w:ascii="Rubik" w:cs="Rubik" w:eastAsia="Rubik" w:hAnsi="Rubik"/>
          <w:b w:val="1"/>
          <w:color w:val="171d20"/>
          <w:rtl w:val="0"/>
        </w:rPr>
        <w:t xml:space="preserve">Andalucía</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b w:val="1"/>
          <w:color w:val="171d20"/>
          <w:rtl w:val="0"/>
        </w:rPr>
        <w:t xml:space="preserve">Canarias se sitúa en la segunda posición</w:t>
      </w:r>
      <w:r w:rsidDel="00000000" w:rsidR="00000000" w:rsidRPr="00000000">
        <w:rPr>
          <w:rFonts w:ascii="Rubik" w:cs="Rubik" w:eastAsia="Rubik" w:hAnsi="Rubik"/>
          <w:color w:val="171d20"/>
          <w:rtl w:val="0"/>
        </w:rPr>
        <w:t xml:space="preserve"> al evitar potencialmente las emisiones equivalentes a más de 1.561.985 botellas de plásticos. Por su parte, la </w:t>
      </w:r>
      <w:r w:rsidDel="00000000" w:rsidR="00000000" w:rsidRPr="00000000">
        <w:rPr>
          <w:rFonts w:ascii="Rubik" w:cs="Rubik" w:eastAsia="Rubik" w:hAnsi="Rubik"/>
          <w:b w:val="1"/>
          <w:color w:val="171d20"/>
          <w:rtl w:val="0"/>
        </w:rPr>
        <w:t xml:space="preserve">Comunidad Valenciana</w:t>
      </w:r>
      <w:r w:rsidDel="00000000" w:rsidR="00000000" w:rsidRPr="00000000">
        <w:rPr>
          <w:rFonts w:ascii="Rubik" w:cs="Rubik" w:eastAsia="Rubik" w:hAnsi="Rubik"/>
          <w:color w:val="171d20"/>
          <w:rtl w:val="0"/>
        </w:rPr>
        <w:t xml:space="preserve"> se alza con el tercer puesto con un ahorro potencial de 1.308.701 botellas de plástico; seguido de </w:t>
      </w:r>
      <w:r w:rsidDel="00000000" w:rsidR="00000000" w:rsidRPr="00000000">
        <w:rPr>
          <w:rFonts w:ascii="Rubik" w:cs="Rubik" w:eastAsia="Rubik" w:hAnsi="Rubik"/>
          <w:b w:val="1"/>
          <w:color w:val="171d20"/>
          <w:rtl w:val="0"/>
        </w:rPr>
        <w:t xml:space="preserve">Cataluña </w:t>
      </w:r>
      <w:r w:rsidDel="00000000" w:rsidR="00000000" w:rsidRPr="00000000">
        <w:rPr>
          <w:rFonts w:ascii="Rubik" w:cs="Rubik" w:eastAsia="Rubik" w:hAnsi="Rubik"/>
          <w:color w:val="171d20"/>
          <w:rtl w:val="0"/>
        </w:rPr>
        <w:t xml:space="preserve">(912.366) y </w:t>
      </w:r>
      <w:r w:rsidDel="00000000" w:rsidR="00000000" w:rsidRPr="00000000">
        <w:rPr>
          <w:rFonts w:ascii="Rubik" w:cs="Rubik" w:eastAsia="Rubik" w:hAnsi="Rubik"/>
          <w:b w:val="1"/>
          <w:color w:val="171d20"/>
          <w:rtl w:val="0"/>
        </w:rPr>
        <w:t xml:space="preserve">Baleares </w:t>
      </w:r>
      <w:r w:rsidDel="00000000" w:rsidR="00000000" w:rsidRPr="00000000">
        <w:rPr>
          <w:rFonts w:ascii="Rubik" w:cs="Rubik" w:eastAsia="Rubik" w:hAnsi="Rubik"/>
          <w:color w:val="171d20"/>
          <w:rtl w:val="0"/>
        </w:rPr>
        <w:t xml:space="preserve">(724.442). </w:t>
      </w:r>
      <w:r w:rsidDel="00000000" w:rsidR="00000000" w:rsidRPr="00000000">
        <w:rPr>
          <w:rtl w:val="0"/>
        </w:rPr>
      </w:r>
    </w:p>
    <w:p w:rsidR="00000000" w:rsidDel="00000000" w:rsidP="00000000" w:rsidRDefault="00000000" w:rsidRPr="00000000" w14:paraId="00000015">
      <w:pPr>
        <w:spacing w:before="240" w:line="276" w:lineRule="auto"/>
        <w:jc w:val="both"/>
        <w:rPr>
          <w:rFonts w:ascii="Rubik" w:cs="Rubik" w:eastAsia="Rubik" w:hAnsi="Rubik"/>
          <w:b w:val="1"/>
          <w:color w:val="171d20"/>
          <w:u w:val="single"/>
        </w:rPr>
      </w:pPr>
      <w:bookmarkStart w:colFirst="0" w:colLast="0" w:name="_heading=h.b42okz9oswyy" w:id="5"/>
      <w:bookmarkEnd w:id="5"/>
      <w:r w:rsidDel="00000000" w:rsidR="00000000" w:rsidRPr="00000000">
        <w:rPr>
          <w:rFonts w:ascii="Rubik" w:cs="Rubik" w:eastAsia="Rubik" w:hAnsi="Rubik"/>
          <w:b w:val="1"/>
          <w:color w:val="171d20"/>
          <w:u w:val="single"/>
          <w:rtl w:val="0"/>
        </w:rPr>
        <w:t xml:space="preserve">Casa y jardín, la categoría que más ahorro de plástico ha supuesto en Andalucía</w:t>
      </w:r>
    </w:p>
    <w:p w:rsidR="00000000" w:rsidDel="00000000" w:rsidP="00000000" w:rsidRDefault="00000000" w:rsidRPr="00000000" w14:paraId="00000016">
      <w:pPr>
        <w:spacing w:before="240" w:line="276" w:lineRule="auto"/>
        <w:jc w:val="both"/>
        <w:rPr>
          <w:rFonts w:ascii="Rubik" w:cs="Rubik" w:eastAsia="Rubik" w:hAnsi="Rubik"/>
          <w:b w:val="1"/>
          <w:color w:val="171d20"/>
        </w:rPr>
      </w:pPr>
      <w:r w:rsidDel="00000000" w:rsidR="00000000" w:rsidRPr="00000000">
        <w:rPr>
          <w:rFonts w:ascii="Rubik" w:cs="Rubik" w:eastAsia="Rubik" w:hAnsi="Rubik"/>
          <w:color w:val="171d20"/>
          <w:rtl w:val="0"/>
        </w:rPr>
        <w:t xml:space="preserve">Al igual que en el caso nacional, en Andalucía gran parte del potencial ahorro de CO₂ proviene de la categoría de </w:t>
      </w:r>
      <w:r w:rsidDel="00000000" w:rsidR="00000000" w:rsidRPr="00000000">
        <w:rPr>
          <w:rFonts w:ascii="Rubik" w:cs="Rubik" w:eastAsia="Rubik" w:hAnsi="Rubik"/>
          <w:b w:val="1"/>
          <w:color w:val="171d20"/>
          <w:rtl w:val="0"/>
        </w:rPr>
        <w:t xml:space="preserve">“Casa y Jardín”. </w:t>
      </w:r>
      <w:r w:rsidDel="00000000" w:rsidR="00000000" w:rsidRPr="00000000">
        <w:rPr>
          <w:rFonts w:ascii="Rubik" w:cs="Rubik" w:eastAsia="Rubik" w:hAnsi="Rubik"/>
          <w:color w:val="171d20"/>
          <w:rtl w:val="0"/>
        </w:rPr>
        <w:t xml:space="preserve">Así, en esta Comunidad Autónoma, productos como </w:t>
      </w:r>
      <w:r w:rsidDel="00000000" w:rsidR="00000000" w:rsidRPr="00000000">
        <w:rPr>
          <w:rFonts w:ascii="Rubik" w:cs="Rubik" w:eastAsia="Rubik" w:hAnsi="Rubik"/>
          <w:i w:val="1"/>
          <w:color w:val="171d20"/>
          <w:rtl w:val="0"/>
        </w:rPr>
        <w:t xml:space="preserve">‘frigoríficos’, ‘congeladores’ y ‘lavadoras’</w:t>
      </w:r>
      <w:r w:rsidDel="00000000" w:rsidR="00000000" w:rsidRPr="00000000">
        <w:rPr>
          <w:rFonts w:ascii="Rubik" w:cs="Rubik" w:eastAsia="Rubik" w:hAnsi="Rubik"/>
          <w:color w:val="171d20"/>
          <w:rtl w:val="0"/>
        </w:rPr>
        <w:t xml:space="preserve"> han conseguido evitar la producción de 1.558.153 botellas de plástico, el equivalente a 1.018 toneladas de  CO₂</w:t>
      </w:r>
      <w:r w:rsidDel="00000000" w:rsidR="00000000" w:rsidRPr="00000000">
        <w:rPr>
          <w:rFonts w:ascii="Rubik" w:cs="Rubik" w:eastAsia="Rubik" w:hAnsi="Rubik"/>
          <w:color w:val="171d20"/>
          <w:rtl w:val="0"/>
        </w:rPr>
        <w:t xml:space="preserve">. </w:t>
      </w:r>
      <w:r w:rsidDel="00000000" w:rsidR="00000000" w:rsidRPr="00000000">
        <w:rPr>
          <w:rtl w:val="0"/>
        </w:rPr>
      </w:r>
    </w:p>
    <w:p w:rsidR="00000000" w:rsidDel="00000000" w:rsidP="00000000" w:rsidRDefault="00000000" w:rsidRPr="00000000" w14:paraId="00000017">
      <w:pPr>
        <w:spacing w:before="240" w:line="276" w:lineRule="auto"/>
        <w:jc w:val="both"/>
        <w:rPr>
          <w:rFonts w:ascii="Rubik" w:cs="Rubik" w:eastAsia="Rubik" w:hAnsi="Rubik"/>
          <w:b w:val="1"/>
          <w:color w:val="171d20"/>
        </w:rPr>
      </w:pPr>
      <w:r w:rsidDel="00000000" w:rsidR="00000000" w:rsidRPr="00000000">
        <w:rPr>
          <w:rFonts w:ascii="Rubik" w:cs="Rubik" w:eastAsia="Rubik" w:hAnsi="Rubik"/>
          <w:highlight w:val="white"/>
          <w:rtl w:val="0"/>
        </w:rPr>
        <w:t xml:space="preserve">Asimismo, “Cierra el círculo 2024” desvela </w:t>
      </w:r>
      <w:r w:rsidDel="00000000" w:rsidR="00000000" w:rsidRPr="00000000">
        <w:rPr>
          <w:rFonts w:ascii="Rubik" w:cs="Rubik" w:eastAsia="Rubik" w:hAnsi="Rubik"/>
          <w:b w:val="1"/>
          <w:highlight w:val="white"/>
          <w:rtl w:val="0"/>
        </w:rPr>
        <w:t xml:space="preserve">qué artículos ahorran más emisiones potencialmente al planeta en Andalucía. </w:t>
      </w:r>
      <w:r w:rsidDel="00000000" w:rsidR="00000000" w:rsidRPr="00000000">
        <w:rPr>
          <w:rFonts w:ascii="Rubik" w:cs="Rubik" w:eastAsia="Rubik" w:hAnsi="Rubik"/>
          <w:highlight w:val="white"/>
          <w:rtl w:val="0"/>
        </w:rPr>
        <w:t xml:space="preserve">Así, del total de productos analizados, Milanuncios muestra cómo las </w:t>
      </w:r>
      <w:r w:rsidDel="00000000" w:rsidR="00000000" w:rsidRPr="00000000">
        <w:rPr>
          <w:rFonts w:ascii="Rubik" w:cs="Rubik" w:eastAsia="Rubik" w:hAnsi="Rubik"/>
          <w:b w:val="1"/>
          <w:i w:val="1"/>
          <w:highlight w:val="white"/>
          <w:rtl w:val="0"/>
        </w:rPr>
        <w:t xml:space="preserve">bicis de montaña, </w:t>
      </w:r>
      <w:r w:rsidDel="00000000" w:rsidR="00000000" w:rsidRPr="00000000">
        <w:rPr>
          <w:rFonts w:ascii="Rubik" w:cs="Rubik" w:eastAsia="Rubik" w:hAnsi="Rubik"/>
          <w:b w:val="1"/>
          <w:i w:val="1"/>
          <w:highlight w:val="white"/>
          <w:rtl w:val="0"/>
        </w:rPr>
        <w:t xml:space="preserve">frigoríficos, congeladores, lavadoras y bicis de niños </w:t>
      </w:r>
      <w:r w:rsidDel="00000000" w:rsidR="00000000" w:rsidRPr="00000000">
        <w:rPr>
          <w:rFonts w:ascii="Rubik" w:cs="Rubik" w:eastAsia="Rubik" w:hAnsi="Rubik"/>
          <w:highlight w:val="white"/>
          <w:rtl w:val="0"/>
        </w:rPr>
        <w:t xml:space="preserve">se sitúan en el ránking de los productos reutilizados con más impacto sostenible. </w:t>
      </w:r>
      <w:r w:rsidDel="00000000" w:rsidR="00000000" w:rsidRPr="00000000">
        <w:rPr>
          <w:rtl w:val="0"/>
        </w:rPr>
      </w:r>
    </w:p>
    <w:p w:rsidR="00000000" w:rsidDel="00000000" w:rsidP="00000000" w:rsidRDefault="00000000" w:rsidRPr="00000000" w14:paraId="00000018">
      <w:pPr>
        <w:spacing w:before="240" w:line="276" w:lineRule="auto"/>
        <w:jc w:val="both"/>
        <w:rPr>
          <w:rFonts w:ascii="Rubik" w:cs="Rubik" w:eastAsia="Rubik" w:hAnsi="Rubik"/>
          <w:b w:val="1"/>
          <w:color w:val="171d20"/>
          <w:u w:val="single"/>
        </w:rPr>
      </w:pPr>
      <w:bookmarkStart w:colFirst="0" w:colLast="0" w:name="_heading=h.hzwfjnaifi09" w:id="6"/>
      <w:bookmarkEnd w:id="6"/>
      <w:r w:rsidDel="00000000" w:rsidR="00000000" w:rsidRPr="00000000">
        <w:rPr>
          <w:rFonts w:ascii="Rubik" w:cs="Rubik" w:eastAsia="Rubik" w:hAnsi="Rubik"/>
          <w:b w:val="1"/>
          <w:color w:val="171d20"/>
          <w:u w:val="single"/>
          <w:rtl w:val="0"/>
        </w:rPr>
        <w:t xml:space="preserve">El</w:t>
      </w:r>
      <w:r w:rsidDel="00000000" w:rsidR="00000000" w:rsidRPr="00000000">
        <w:rPr>
          <w:rFonts w:ascii="Rubik" w:cs="Rubik" w:eastAsia="Rubik" w:hAnsi="Rubik"/>
          <w:b w:val="1"/>
          <w:color w:val="171d20"/>
          <w:u w:val="single"/>
          <w:rtl w:val="0"/>
        </w:rPr>
        <w:t xml:space="preserve"> 45% de </w:t>
      </w:r>
      <w:r w:rsidDel="00000000" w:rsidR="00000000" w:rsidRPr="00000000">
        <w:rPr>
          <w:rFonts w:ascii="Rubik" w:cs="Rubik" w:eastAsia="Rubik" w:hAnsi="Rubik"/>
          <w:b w:val="1"/>
          <w:color w:val="171d20"/>
          <w:u w:val="single"/>
          <w:rtl w:val="0"/>
        </w:rPr>
        <w:t xml:space="preserve">las compras de electrodomésticos han evitado la adquisición de un producto nuevo</w:t>
      </w:r>
    </w:p>
    <w:p w:rsidR="00000000" w:rsidDel="00000000" w:rsidP="00000000" w:rsidRDefault="00000000" w:rsidRPr="00000000" w14:paraId="00000019">
      <w:pPr>
        <w:spacing w:before="240" w:line="276" w:lineRule="auto"/>
        <w:jc w:val="both"/>
        <w:rPr>
          <w:rFonts w:ascii="Rubik" w:cs="Rubik" w:eastAsia="Rubik" w:hAnsi="Rubik"/>
          <w:b w:val="1"/>
          <w:highlight w:val="white"/>
        </w:rPr>
      </w:pPr>
      <w:bookmarkStart w:colFirst="0" w:colLast="0" w:name="_heading=h.ofy4aipkkjjt" w:id="7"/>
      <w:bookmarkEnd w:id="7"/>
      <w:r w:rsidDel="00000000" w:rsidR="00000000" w:rsidRPr="00000000">
        <w:rPr>
          <w:rFonts w:ascii="Rubik" w:cs="Rubik" w:eastAsia="Rubik" w:hAnsi="Rubik"/>
          <w:color w:val="171d20"/>
          <w:rtl w:val="0"/>
        </w:rPr>
        <w:t xml:space="preserve">Además, por primera vez, Milanuncios ha analizado en el Informe ‘Cierra el círculo’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a nivel nacional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color w:val="171d20"/>
          <w:rtl w:val="0"/>
        </w:rPr>
        <w:t xml:space="preserve"> que haber encontrado estos artículos en la plataforma de segunda mano evitó que compraran estos productos nuevos</w:t>
      </w:r>
      <w:r w:rsidDel="00000000" w:rsidR="00000000" w:rsidRPr="00000000">
        <w:rPr>
          <w:rtl w:val="0"/>
        </w:rPr>
      </w:r>
    </w:p>
    <w:p w:rsidR="00000000" w:rsidDel="00000000" w:rsidP="00000000" w:rsidRDefault="00000000" w:rsidRPr="00000000" w14:paraId="0000001A">
      <w:pPr>
        <w:spacing w:before="240" w:line="276" w:lineRule="auto"/>
        <w:jc w:val="both"/>
        <w:rPr>
          <w:rFonts w:ascii="Rubik" w:cs="Rubik" w:eastAsia="Rubik" w:hAnsi="Rubik"/>
          <w:b w:val="1"/>
          <w:color w:val="171d20"/>
        </w:rPr>
      </w:pPr>
      <w:bookmarkStart w:colFirst="0" w:colLast="0" w:name="_heading=h.1ec7f36sv4jq" w:id="8"/>
      <w:bookmarkEnd w:id="8"/>
      <w:r w:rsidDel="00000000" w:rsidR="00000000" w:rsidRPr="00000000">
        <w:rPr>
          <w:rFonts w:ascii="Rubik" w:cs="Rubik" w:eastAsia="Rubik" w:hAnsi="Rubik"/>
          <w:highlight w:val="white"/>
          <w:rtl w:val="0"/>
        </w:rPr>
        <w:t xml:space="preserve">Lo mismo ocurre con los compradores de </w:t>
      </w:r>
      <w:r w:rsidDel="00000000" w:rsidR="00000000" w:rsidRPr="00000000">
        <w:rPr>
          <w:rFonts w:ascii="Rubik" w:cs="Rubik" w:eastAsia="Rubik" w:hAnsi="Rubik"/>
          <w:b w:val="1"/>
          <w:highlight w:val="white"/>
          <w:rtl w:val="0"/>
        </w:rPr>
        <w:t xml:space="preserve">electrodomésticos</w:t>
      </w:r>
      <w:r w:rsidDel="00000000" w:rsidR="00000000" w:rsidRPr="00000000">
        <w:rPr>
          <w:rFonts w:ascii="Rubik" w:cs="Rubik" w:eastAsia="Rubik" w:hAnsi="Rubik"/>
          <w:highlight w:val="white"/>
          <w:rtl w:val="0"/>
        </w:rPr>
        <w:t xml:space="preserve"> para la cocina y el hogar (</w:t>
      </w:r>
      <w:r w:rsidDel="00000000" w:rsidR="00000000" w:rsidRPr="00000000">
        <w:rPr>
          <w:rFonts w:ascii="Rubik" w:cs="Rubik" w:eastAsia="Rubik" w:hAnsi="Rubik"/>
          <w:i w:val="1"/>
          <w:highlight w:val="white"/>
          <w:rtl w:val="0"/>
        </w:rPr>
        <w:t xml:space="preserve">frigoríficos, congeladores o lavadoras</w:t>
      </w:r>
      <w:r w:rsidDel="00000000" w:rsidR="00000000" w:rsidRPr="00000000">
        <w:rPr>
          <w:rFonts w:ascii="Rubik" w:cs="Rubik" w:eastAsia="Rubik" w:hAnsi="Rubik"/>
          <w:highlight w:val="white"/>
          <w:rtl w:val="0"/>
        </w:rPr>
        <w:t xml:space="preserve">), donde un 45% de los usuarios admitió que esa compra en segunda mano evitó la adquisición de estos elementos nuevos. Asimismo, los usuarios se decantaron por recurrir a la segunda mano a la hora de adquirir productos como </w:t>
      </w:r>
      <w:r w:rsidDel="00000000" w:rsidR="00000000" w:rsidRPr="00000000">
        <w:rPr>
          <w:rFonts w:ascii="Rubik" w:cs="Rubik" w:eastAsia="Rubik" w:hAnsi="Rubik"/>
          <w:i w:val="1"/>
          <w:highlight w:val="white"/>
          <w:rtl w:val="0"/>
        </w:rPr>
        <w:t xml:space="preserve">ordenadores, smart TV, aires acondicionados o PlayStation, </w:t>
      </w:r>
      <w:r w:rsidDel="00000000" w:rsidR="00000000" w:rsidRPr="00000000">
        <w:rPr>
          <w:rFonts w:ascii="Rubik" w:cs="Rubik" w:eastAsia="Rubik" w:hAnsi="Rubik"/>
          <w:highlight w:val="white"/>
          <w:rtl w:val="0"/>
        </w:rPr>
        <w:t xml:space="preserve">entre otros.</w:t>
      </w:r>
      <w:r w:rsidDel="00000000" w:rsidR="00000000" w:rsidRPr="00000000">
        <w:rPr>
          <w:rtl w:val="0"/>
        </w:rPr>
      </w:r>
    </w:p>
    <w:p w:rsidR="00000000" w:rsidDel="00000000" w:rsidP="00000000" w:rsidRDefault="00000000" w:rsidRPr="00000000" w14:paraId="0000001B">
      <w:pPr>
        <w:spacing w:before="240" w:line="276" w:lineRule="auto"/>
        <w:jc w:val="both"/>
        <w:rPr>
          <w:rFonts w:ascii="Rubik" w:cs="Rubik" w:eastAsia="Rubik" w:hAnsi="Rubik"/>
          <w:i w:val="1"/>
          <w:color w:val="171d20"/>
        </w:rPr>
      </w:pPr>
      <w:bookmarkStart w:colFirst="0" w:colLast="0" w:name="_heading=h.ceqfsvdi3ehy" w:id="9"/>
      <w:bookmarkEnd w:id="9"/>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concretamente en Andalucía, donde vemos que muchos usuarios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p>
    <w:p w:rsidR="00000000" w:rsidDel="00000000" w:rsidP="00000000" w:rsidRDefault="00000000" w:rsidRPr="00000000" w14:paraId="0000001C">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F">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0">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1">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2">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3">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4">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5">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6">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7">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8">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9">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A">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2B">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2C">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D">
      <w:pPr>
        <w:spacing w:line="276" w:lineRule="auto"/>
        <w:jc w:val="both"/>
        <w:rPr>
          <w:rFonts w:ascii="Rubik" w:cs="Rubik" w:eastAsia="Rubik" w:hAnsi="Rubik"/>
          <w:b w:val="1"/>
          <w:color w:val="b7b7b7"/>
          <w:sz w:val="18"/>
          <w:szCs w:val="18"/>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C2WnwuESEoDhChm+sxC95fs3A==">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